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F37B8" w:rsidRPr="005F37B8" w:rsidRDefault="005F37B8" w:rsidP="005F37B8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5F37B8">
        <w:rPr>
          <w:rFonts w:ascii="Arial" w:eastAsia="Times New Roman" w:hAnsi="Arial" w:cs="Arial"/>
          <w:b/>
          <w:lang w:eastAsia="pl-PL"/>
        </w:rPr>
        <w:t>Wymiana instalacji elektrycznych (II etap) na pierwszym piętrze budynku Urzędu Dzielnicy Praga-Południe przy ul. Grochowskiej 274 w Warszawie</w:t>
      </w:r>
    </w:p>
    <w:p w:rsidR="001C2B52" w:rsidRDefault="001C2B52" w:rsidP="005F37B8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024F0A">
      <w:t xml:space="preserve">             UD-VI-ZP/99</w:t>
    </w:r>
    <w: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24F0A"/>
    <w:rsid w:val="001C2B52"/>
    <w:rsid w:val="005756C6"/>
    <w:rsid w:val="005F37B8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BB25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dcterms:created xsi:type="dcterms:W3CDTF">2016-09-02T13:01:00Z</dcterms:created>
  <dcterms:modified xsi:type="dcterms:W3CDTF">2016-09-21T11:01:00Z</dcterms:modified>
</cp:coreProperties>
</file>